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8A586" w14:textId="344F3E09" w:rsidR="00857ECC" w:rsidRDefault="00857ECC" w:rsidP="00210F69">
      <w:pPr>
        <w:rPr>
          <w:rFonts w:ascii="Arial" w:eastAsia="Times New Roman" w:hAnsi="Arial" w:cs="Arial"/>
          <w:i/>
          <w:color w:val="4F81BD"/>
          <w:lang w:eastAsia="fi-FI"/>
        </w:rPr>
      </w:pPr>
      <w:bookmarkStart w:id="0" w:name="_GoBack"/>
      <w:bookmarkEnd w:id="0"/>
      <w:r w:rsidRPr="00210F69">
        <w:rPr>
          <w:rFonts w:ascii="Arial" w:hAnsi="Arial" w:cs="Arial"/>
          <w:b/>
        </w:rPr>
        <w:t>Ohje</w:t>
      </w:r>
      <w:r w:rsidR="00210F69" w:rsidRPr="00210F69">
        <w:rPr>
          <w:rFonts w:ascii="Arial" w:hAnsi="Arial" w:cs="Arial"/>
          <w:b/>
        </w:rPr>
        <w:t xml:space="preserve"> </w:t>
      </w:r>
      <w:r w:rsidR="00D65966">
        <w:rPr>
          <w:rFonts w:ascii="Arial" w:hAnsi="Arial" w:cs="Arial"/>
          <w:b/>
        </w:rPr>
        <w:t>11</w:t>
      </w:r>
      <w:r w:rsidRPr="00210F69">
        <w:rPr>
          <w:rFonts w:ascii="Arial" w:hAnsi="Arial" w:cs="Arial"/>
          <w:b/>
        </w:rPr>
        <w:t>.</w:t>
      </w:r>
      <w:r w:rsidR="00D65966">
        <w:rPr>
          <w:rFonts w:ascii="Arial" w:hAnsi="Arial" w:cs="Arial"/>
          <w:b/>
        </w:rPr>
        <w:t>4</w:t>
      </w:r>
      <w:r w:rsidRPr="00210F69">
        <w:rPr>
          <w:rFonts w:ascii="Arial" w:hAnsi="Arial" w:cs="Arial"/>
          <w:b/>
        </w:rPr>
        <w:t>.201</w:t>
      </w:r>
      <w:bookmarkStart w:id="1" w:name="_Toc275269466"/>
      <w:r w:rsidR="00D65966">
        <w:rPr>
          <w:rFonts w:ascii="Arial" w:hAnsi="Arial" w:cs="Arial"/>
          <w:b/>
        </w:rPr>
        <w:t>1</w:t>
      </w:r>
      <w:r w:rsidR="00210F69">
        <w:rPr>
          <w:rFonts w:ascii="Arial" w:hAnsi="Arial" w:cs="Arial"/>
          <w:b/>
        </w:rPr>
        <w:br/>
      </w:r>
      <w:r w:rsidR="00210F69">
        <w:rPr>
          <w:rFonts w:ascii="Arial" w:hAnsi="Arial" w:cs="Arial"/>
          <w:b/>
        </w:rPr>
        <w:br/>
      </w:r>
      <w:r w:rsidRPr="00857ECC">
        <w:rPr>
          <w:rFonts w:ascii="Arial" w:eastAsia="Times New Roman" w:hAnsi="Arial" w:cs="Arial"/>
          <w:i/>
          <w:color w:val="4F81BD"/>
          <w:lang w:eastAsia="fi-FI"/>
        </w:rPr>
        <w:t>Viimeisin muutos 31.12.</w:t>
      </w:r>
      <w:r w:rsidRPr="00DB3389">
        <w:rPr>
          <w:rFonts w:ascii="Arial" w:eastAsia="Times New Roman" w:hAnsi="Arial" w:cs="Arial"/>
          <w:i/>
          <w:color w:val="0070C0"/>
          <w:lang w:eastAsia="fi-FI"/>
        </w:rPr>
        <w:t>201</w:t>
      </w:r>
      <w:r w:rsidR="00DB3389">
        <w:rPr>
          <w:rFonts w:ascii="Arial" w:eastAsia="Times New Roman" w:hAnsi="Arial" w:cs="Arial"/>
          <w:i/>
          <w:color w:val="0070C0"/>
          <w:lang w:eastAsia="fi-FI"/>
        </w:rPr>
        <w:t>7</w:t>
      </w:r>
    </w:p>
    <w:p w14:paraId="21E8A587" w14:textId="77777777" w:rsidR="00D65966" w:rsidRPr="00920149" w:rsidRDefault="00D65966" w:rsidP="00D65966">
      <w:pPr>
        <w:pStyle w:val="Otsikko1"/>
        <w:numPr>
          <w:ilvl w:val="0"/>
          <w:numId w:val="0"/>
        </w:numPr>
        <w:spacing w:line="276" w:lineRule="auto"/>
        <w:rPr>
          <w:sz w:val="28"/>
          <w:szCs w:val="28"/>
        </w:rPr>
      </w:pPr>
      <w:r w:rsidRPr="00920149">
        <w:rPr>
          <w:sz w:val="28"/>
          <w:szCs w:val="28"/>
        </w:rPr>
        <w:t>VB</w:t>
      </w:r>
      <w:r w:rsidRPr="00920149">
        <w:rPr>
          <w:sz w:val="28"/>
          <w:szCs w:val="28"/>
        </w:rPr>
        <w:tab/>
        <w:t>Tilinpäätöksen liitetietotaulukot</w:t>
      </w:r>
    </w:p>
    <w:p w14:paraId="21E8A588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89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VB-tiedonkeruussa kerätään vakuutuslaitosten tilinpäätöstä vastaavia liitetietoja. Tietoja käytetään Finanssivalvonnan suorittamaan valvontaan sekä vakuutustilastojen kokoamiseen. </w:t>
      </w:r>
    </w:p>
    <w:p w14:paraId="21E8A58A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8B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Tiedonkeruu toteutetaan taulukoittain seuraavasti:</w:t>
      </w:r>
    </w:p>
    <w:p w14:paraId="21E8A58C" w14:textId="77777777" w:rsidR="00D65966" w:rsidRPr="0029584E" w:rsidRDefault="00D65966" w:rsidP="00D65966">
      <w:pPr>
        <w:pStyle w:val="Indent2"/>
        <w:spacing w:line="276" w:lineRule="auto"/>
        <w:ind w:left="0"/>
        <w:rPr>
          <w:i/>
          <w:color w:val="5B9BD5" w:themeColor="accent1"/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LightShading1"/>
        <w:tblW w:w="8221" w:type="dxa"/>
        <w:tblInd w:w="1526" w:type="dxa"/>
        <w:tblLayout w:type="fixed"/>
        <w:tblLook w:val="0420" w:firstRow="1" w:lastRow="0" w:firstColumn="0" w:lastColumn="0" w:noHBand="0" w:noVBand="1"/>
      </w:tblPr>
      <w:tblGrid>
        <w:gridCol w:w="1134"/>
        <w:gridCol w:w="4678"/>
        <w:gridCol w:w="2409"/>
      </w:tblGrid>
      <w:tr w:rsidR="00D65966" w:rsidRPr="00920149" w14:paraId="21E8A590" w14:textId="77777777" w:rsidTr="00257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134" w:type="dxa"/>
          </w:tcPr>
          <w:p w14:paraId="21E8A58D" w14:textId="77777777" w:rsidR="00D65966" w:rsidRPr="000420B7" w:rsidRDefault="00D65966" w:rsidP="002575F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Taulukkotunnus</w:t>
            </w:r>
          </w:p>
        </w:tc>
        <w:tc>
          <w:tcPr>
            <w:tcW w:w="4678" w:type="dxa"/>
          </w:tcPr>
          <w:p w14:paraId="21E8A58E" w14:textId="77777777" w:rsidR="00D65966" w:rsidRPr="000420B7" w:rsidRDefault="00D65966" w:rsidP="002575F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Taulukon nimi</w:t>
            </w:r>
          </w:p>
        </w:tc>
        <w:tc>
          <w:tcPr>
            <w:tcW w:w="2409" w:type="dxa"/>
          </w:tcPr>
          <w:p w14:paraId="21E8A58F" w14:textId="77777777" w:rsidR="00D65966" w:rsidRPr="000420B7" w:rsidRDefault="00D65966" w:rsidP="002575FF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Tiedonantajatasot</w:t>
            </w:r>
          </w:p>
        </w:tc>
      </w:tr>
      <w:tr w:rsidR="00D65966" w:rsidRPr="00920149" w14:paraId="21E8A594" w14:textId="77777777" w:rsidTr="0025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134" w:type="dxa"/>
            <w:vAlign w:val="center"/>
          </w:tcPr>
          <w:p w14:paraId="21E8A591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VB02a</w:t>
            </w:r>
          </w:p>
        </w:tc>
        <w:tc>
          <w:tcPr>
            <w:tcW w:w="4678" w:type="dxa"/>
            <w:vAlign w:val="center"/>
          </w:tcPr>
          <w:p w14:paraId="21E8A592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Työeläkevakuutusyhtiön tuloslaskelmaa koskevat liitetiedot</w:t>
            </w:r>
          </w:p>
        </w:tc>
        <w:tc>
          <w:tcPr>
            <w:tcW w:w="2409" w:type="dxa"/>
            <w:vAlign w:val="center"/>
          </w:tcPr>
          <w:p w14:paraId="21E8A593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401, 436</w:t>
            </w:r>
          </w:p>
        </w:tc>
      </w:tr>
      <w:tr w:rsidR="00D65966" w:rsidRPr="00920149" w14:paraId="21E8A598" w14:textId="77777777" w:rsidTr="002575FF">
        <w:trPr>
          <w:trHeight w:val="357"/>
        </w:trPr>
        <w:tc>
          <w:tcPr>
            <w:tcW w:w="1134" w:type="dxa"/>
            <w:vAlign w:val="center"/>
          </w:tcPr>
          <w:p w14:paraId="21E8A595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VB02b</w:t>
            </w:r>
          </w:p>
        </w:tc>
        <w:tc>
          <w:tcPr>
            <w:tcW w:w="4678" w:type="dxa"/>
            <w:vAlign w:val="center"/>
          </w:tcPr>
          <w:p w14:paraId="21E8A596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Henkivakuutusyhtiön tuloslaskelmaa koskevat liitetiedot</w:t>
            </w:r>
          </w:p>
        </w:tc>
        <w:tc>
          <w:tcPr>
            <w:tcW w:w="2409" w:type="dxa"/>
            <w:vAlign w:val="center"/>
          </w:tcPr>
          <w:p w14:paraId="21E8A597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410</w:t>
            </w:r>
          </w:p>
        </w:tc>
      </w:tr>
      <w:tr w:rsidR="00D65966" w:rsidRPr="00920149" w14:paraId="21E8A59C" w14:textId="77777777" w:rsidTr="0025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21E8A599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VB02c</w:t>
            </w:r>
          </w:p>
        </w:tc>
        <w:tc>
          <w:tcPr>
            <w:tcW w:w="4678" w:type="dxa"/>
            <w:vAlign w:val="center"/>
          </w:tcPr>
          <w:p w14:paraId="21E8A59A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Vahinkovakuutusyhtiön tuloslaskelmaa koskevat liitetiedot</w:t>
            </w:r>
          </w:p>
        </w:tc>
        <w:tc>
          <w:tcPr>
            <w:tcW w:w="2409" w:type="dxa"/>
            <w:vAlign w:val="center"/>
          </w:tcPr>
          <w:p w14:paraId="21E8A59B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420</w:t>
            </w:r>
          </w:p>
        </w:tc>
      </w:tr>
      <w:tr w:rsidR="00D65966" w:rsidRPr="00920149" w14:paraId="21E8A5A0" w14:textId="77777777" w:rsidTr="002575FF">
        <w:trPr>
          <w:trHeight w:val="357"/>
        </w:trPr>
        <w:tc>
          <w:tcPr>
            <w:tcW w:w="1134" w:type="dxa"/>
            <w:vAlign w:val="center"/>
          </w:tcPr>
          <w:p w14:paraId="21E8A59D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VB02d</w:t>
            </w:r>
          </w:p>
        </w:tc>
        <w:tc>
          <w:tcPr>
            <w:tcW w:w="4678" w:type="dxa"/>
            <w:vAlign w:val="center"/>
          </w:tcPr>
          <w:p w14:paraId="21E8A59E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Maatalousyrittäjien eläkelaitoksen tuloslaskelmaa koskevat liitetiedot</w:t>
            </w:r>
          </w:p>
        </w:tc>
        <w:tc>
          <w:tcPr>
            <w:tcW w:w="2409" w:type="dxa"/>
            <w:vAlign w:val="center"/>
          </w:tcPr>
          <w:p w14:paraId="21E8A59F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435</w:t>
            </w:r>
          </w:p>
        </w:tc>
      </w:tr>
      <w:tr w:rsidR="00D65966" w:rsidRPr="00920149" w14:paraId="21E8A5A4" w14:textId="77777777" w:rsidTr="0025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21E8A5A1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VB02e</w:t>
            </w:r>
          </w:p>
        </w:tc>
        <w:tc>
          <w:tcPr>
            <w:tcW w:w="4678" w:type="dxa"/>
            <w:vAlign w:val="center"/>
          </w:tcPr>
          <w:p w14:paraId="21E8A5A2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Eläkekassan tuloslaskelmaa koskevat liitetiedot</w:t>
            </w:r>
          </w:p>
        </w:tc>
        <w:tc>
          <w:tcPr>
            <w:tcW w:w="2409" w:type="dxa"/>
            <w:vAlign w:val="center"/>
          </w:tcPr>
          <w:p w14:paraId="21E8A5A3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441, 442, 443</w:t>
            </w:r>
          </w:p>
        </w:tc>
      </w:tr>
      <w:tr w:rsidR="00D65966" w:rsidRPr="00920149" w14:paraId="21E8A5A8" w14:textId="77777777" w:rsidTr="002575FF">
        <w:trPr>
          <w:trHeight w:val="357"/>
        </w:trPr>
        <w:tc>
          <w:tcPr>
            <w:tcW w:w="1134" w:type="dxa"/>
            <w:vAlign w:val="center"/>
          </w:tcPr>
          <w:p w14:paraId="21E8A5A5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VB02f</w:t>
            </w:r>
          </w:p>
        </w:tc>
        <w:tc>
          <w:tcPr>
            <w:tcW w:w="4678" w:type="dxa"/>
            <w:vAlign w:val="center"/>
          </w:tcPr>
          <w:p w14:paraId="21E8A5A6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Eläkesäätiön tuloslaskelmaa koskevat liitetiedot</w:t>
            </w:r>
          </w:p>
        </w:tc>
        <w:tc>
          <w:tcPr>
            <w:tcW w:w="2409" w:type="dxa"/>
            <w:vAlign w:val="center"/>
          </w:tcPr>
          <w:p w14:paraId="21E8A5A7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451, 452, 453</w:t>
            </w:r>
          </w:p>
        </w:tc>
      </w:tr>
      <w:tr w:rsidR="00D65966" w:rsidRPr="00920149" w14:paraId="21E8A5AC" w14:textId="77777777" w:rsidTr="0025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21E8A5A9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VB032</w:t>
            </w:r>
          </w:p>
        </w:tc>
        <w:tc>
          <w:tcPr>
            <w:tcW w:w="4678" w:type="dxa"/>
            <w:vAlign w:val="center"/>
          </w:tcPr>
          <w:p w14:paraId="21E8A5AA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21E8A5AB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401, 410, 420, 435, 436</w:t>
            </w:r>
          </w:p>
        </w:tc>
      </w:tr>
      <w:tr w:rsidR="00D65966" w:rsidRPr="00920149" w14:paraId="21E8A5B0" w14:textId="77777777" w:rsidTr="002575FF">
        <w:trPr>
          <w:trHeight w:val="357"/>
        </w:trPr>
        <w:tc>
          <w:tcPr>
            <w:tcW w:w="1134" w:type="dxa"/>
            <w:vAlign w:val="center"/>
          </w:tcPr>
          <w:p w14:paraId="21E8A5AD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VB035</w:t>
            </w:r>
          </w:p>
        </w:tc>
        <w:tc>
          <w:tcPr>
            <w:tcW w:w="4678" w:type="dxa"/>
            <w:vAlign w:val="center"/>
          </w:tcPr>
          <w:p w14:paraId="21E8A5AE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21E8A5AF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410</w:t>
            </w:r>
          </w:p>
        </w:tc>
      </w:tr>
      <w:tr w:rsidR="00D65966" w:rsidRPr="00920149" w14:paraId="21E8A5B4" w14:textId="77777777" w:rsidTr="0025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tcW w:w="1134" w:type="dxa"/>
            <w:vAlign w:val="center"/>
          </w:tcPr>
          <w:p w14:paraId="21E8A5B1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VB036</w:t>
            </w:r>
          </w:p>
        </w:tc>
        <w:tc>
          <w:tcPr>
            <w:tcW w:w="4678" w:type="dxa"/>
            <w:vAlign w:val="center"/>
          </w:tcPr>
          <w:p w14:paraId="21E8A5B2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 xml:space="preserve">Vakuutusyhtiön tasetta koskevat liitetiedot - osa 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21E8A5B3" w14:textId="77777777" w:rsidR="00D65966" w:rsidRPr="00920149" w:rsidRDefault="00D65966" w:rsidP="002575FF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6D57FD">
              <w:rPr>
                <w:color w:val="auto"/>
                <w:sz w:val="20"/>
                <w:szCs w:val="20"/>
              </w:rPr>
              <w:t>401, 410, 420, 435, 436</w:t>
            </w:r>
          </w:p>
        </w:tc>
      </w:tr>
    </w:tbl>
    <w:p w14:paraId="21E8A5B5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B6" w14:textId="3F5FE33E" w:rsidR="00D65966" w:rsidRPr="00A91873" w:rsidRDefault="00D65966" w:rsidP="00D65966">
      <w:pPr>
        <w:pStyle w:val="Indent2"/>
        <w:spacing w:line="276" w:lineRule="auto"/>
        <w:ind w:left="1304"/>
        <w:rPr>
          <w:i/>
          <w:color w:val="8496B0" w:themeColor="text2" w:themeTint="99"/>
          <w:sz w:val="20"/>
          <w:szCs w:val="20"/>
        </w:rPr>
      </w:pPr>
      <w:r>
        <w:rPr>
          <w:sz w:val="20"/>
          <w:szCs w:val="20"/>
        </w:rPr>
        <w:t>Taulukot VB02a, VB02b, VB02c, VB02d, VB032, VB035 ja VB036 on toimitettava Finanssivalvonnalle täytettynä 10 vuorokautta ennen vakuutusyhtiön tilintarkas</w:t>
      </w:r>
      <w:r w:rsidR="00DB3389">
        <w:rPr>
          <w:sz w:val="20"/>
          <w:szCs w:val="20"/>
        </w:rPr>
        <w:t>tus</w:t>
      </w:r>
      <w:r>
        <w:rPr>
          <w:sz w:val="20"/>
          <w:szCs w:val="20"/>
        </w:rPr>
        <w:t>kertomuksen</w:t>
      </w:r>
      <w:r w:rsidR="00DB33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luovuttamista / tilintarkatustilaisuutta, kuitenkin viimeistään 31.3. (määräykset ja ohjeet 1/2011). </w:t>
      </w:r>
      <w:r w:rsidRPr="00DB3389">
        <w:rPr>
          <w:i/>
          <w:color w:val="0070C0"/>
          <w:sz w:val="20"/>
          <w:szCs w:val="20"/>
        </w:rPr>
        <w:t>(31.12.2017)</w:t>
      </w:r>
    </w:p>
    <w:p w14:paraId="21E8A5B7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B8" w14:textId="2407FFD9" w:rsidR="00D65966" w:rsidRPr="00DB3389" w:rsidRDefault="00D65966" w:rsidP="00D65966">
      <w:pPr>
        <w:pStyle w:val="Indent2"/>
        <w:spacing w:line="276" w:lineRule="auto"/>
        <w:ind w:left="1304"/>
        <w:rPr>
          <w:i/>
          <w:color w:val="0070C0"/>
          <w:sz w:val="20"/>
          <w:szCs w:val="20"/>
        </w:rPr>
      </w:pPr>
      <w:r>
        <w:rPr>
          <w:sz w:val="20"/>
          <w:szCs w:val="20"/>
        </w:rPr>
        <w:t xml:space="preserve">Taulukot VB02e ja VB02f on toimitettava Finanssivalvonnalle täytettynä 10 vuorokautta ennen vakuutuslaitoksen tilintarkastustilaisuutta, kuitenkin viimeistään 30.4. (määräykset ja ohjeet 1/2011). </w:t>
      </w:r>
      <w:r w:rsidRPr="00DB3389">
        <w:rPr>
          <w:i/>
          <w:color w:val="0070C0"/>
          <w:sz w:val="20"/>
          <w:szCs w:val="20"/>
        </w:rPr>
        <w:t>(31.12.2017)</w:t>
      </w:r>
    </w:p>
    <w:p w14:paraId="21E8A5B9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BA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Tilinpäätöksen liitetietoja koskevat määritelmät löytyvät määräys- ja ohjekokoelmien kohdista seuraavasti:</w:t>
      </w:r>
    </w:p>
    <w:p w14:paraId="21E8A5BB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BC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Työeläke-, henki- ja vahinkovakuutusyhtiöt sekä lailla perustetut eläkelaitokset:</w:t>
      </w:r>
    </w:p>
    <w:p w14:paraId="21E8A5BD" w14:textId="77777777" w:rsidR="00D65966" w:rsidRPr="0015259A" w:rsidRDefault="00D65966" w:rsidP="00D65966">
      <w:pPr>
        <w:pStyle w:val="-List1"/>
        <w:spacing w:line="276" w:lineRule="auto"/>
        <w:rPr>
          <w:sz w:val="20"/>
          <w:szCs w:val="20"/>
        </w:rPr>
      </w:pPr>
      <w:r w:rsidRPr="00251A31">
        <w:rPr>
          <w:sz w:val="20"/>
          <w:szCs w:val="20"/>
        </w:rPr>
        <w:t>Määräy</w:t>
      </w:r>
      <w:r>
        <w:rPr>
          <w:sz w:val="20"/>
          <w:szCs w:val="20"/>
        </w:rPr>
        <w:t>kset</w:t>
      </w:r>
      <w:r w:rsidRPr="00251A31">
        <w:rPr>
          <w:sz w:val="20"/>
          <w:szCs w:val="20"/>
        </w:rPr>
        <w:t xml:space="preserve"> ja ohje</w:t>
      </w:r>
      <w:r>
        <w:rPr>
          <w:sz w:val="20"/>
          <w:szCs w:val="20"/>
        </w:rPr>
        <w:t xml:space="preserve">et 14/2012. </w:t>
      </w:r>
      <w:r w:rsidRPr="0015259A">
        <w:rPr>
          <w:color w:val="000000"/>
          <w:sz w:val="20"/>
          <w:szCs w:val="20"/>
        </w:rPr>
        <w:t>Kirjanpitoa, tilinpäätöstä ja toimintakertomusta koskevat määräykset ja ohjeet: Vakuutusyhtiöt, työeläkevakuutusyhtiöt, vakuutusyhdistykset, vakuutusomistusyhteisöt, kolmannen maan vakuutusyhtiöiden sivuliikkeet ja lailla perustetut eläkelaitokset</w:t>
      </w:r>
    </w:p>
    <w:p w14:paraId="21E8A5BE" w14:textId="77777777" w:rsidR="00D65966" w:rsidRDefault="00D65966" w:rsidP="00D65966">
      <w:pPr>
        <w:pStyle w:val="Indent2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ab/>
        <w:t>Eläkekassat:</w:t>
      </w:r>
    </w:p>
    <w:p w14:paraId="21E8A5BF" w14:textId="77777777" w:rsidR="00D65966" w:rsidRPr="0015259A" w:rsidRDefault="00D65966" w:rsidP="00D65966">
      <w:pPr>
        <w:pStyle w:val="-List1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Määräykset ja ohjeet 15/2012. K</w:t>
      </w:r>
      <w:r>
        <w:rPr>
          <w:color w:val="000000"/>
          <w:sz w:val="20"/>
          <w:szCs w:val="20"/>
        </w:rPr>
        <w:t>irjanpitoa, tilinpäätöstä ja toimintakertomusta koskevat määräykset ja ohjeet: El</w:t>
      </w:r>
      <w:r w:rsidRPr="0015259A">
        <w:rPr>
          <w:color w:val="000000"/>
          <w:sz w:val="20"/>
          <w:szCs w:val="20"/>
        </w:rPr>
        <w:t>äkekassat ja eläkesäätiöt</w:t>
      </w:r>
    </w:p>
    <w:p w14:paraId="21E8A5C0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lastRenderedPageBreak/>
        <w:t>Eläkesäätiöt:</w:t>
      </w:r>
    </w:p>
    <w:p w14:paraId="21E8A5C1" w14:textId="77777777" w:rsidR="00D65966" w:rsidRPr="0015259A" w:rsidRDefault="00D65966" w:rsidP="00D65966">
      <w:pPr>
        <w:pStyle w:val="-List1"/>
        <w:spacing w:line="276" w:lineRule="auto"/>
        <w:rPr>
          <w:sz w:val="20"/>
          <w:szCs w:val="20"/>
        </w:rPr>
      </w:pPr>
      <w:r w:rsidRPr="0015259A">
        <w:rPr>
          <w:sz w:val="20"/>
          <w:szCs w:val="20"/>
        </w:rPr>
        <w:t>Määräykset ja ohjeet 15/2012</w:t>
      </w:r>
      <w:r>
        <w:rPr>
          <w:sz w:val="20"/>
          <w:szCs w:val="20"/>
        </w:rPr>
        <w:t>. K</w:t>
      </w:r>
      <w:r w:rsidRPr="0015259A">
        <w:rPr>
          <w:color w:val="000000"/>
          <w:sz w:val="20"/>
          <w:szCs w:val="20"/>
        </w:rPr>
        <w:t>irjanpitoa, tilinpäätöstä ja toimintakertomusta koskevat määräykset ja ohjeet: Eläkekassat ja eläkesäätiöt</w:t>
      </w:r>
    </w:p>
    <w:p w14:paraId="21E8A5C2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C3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Rahamääräiset arvot annetaan tuhansina euroina. Prosenttimuotoiset tiedot annetaan kahden desimaalin tarkkuudella ilman % -merkkiä. Lukumäärät annetaan yhden kappaleen tarkkuudella.</w:t>
      </w:r>
    </w:p>
    <w:p w14:paraId="21E8A5C4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C5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Tuloslaskelma- ja tase-eriä erittelevien liitetietojen tulee täsmätä vastaaviin tulos- ja taseriveihin.</w:t>
      </w:r>
    </w:p>
    <w:p w14:paraId="21E8A5C6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(31.12.2014)</w:t>
      </w:r>
    </w:p>
    <w:p w14:paraId="21E8A5C7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C8" w14:textId="27CFA44A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Lisätietoja VB -tiedonkeruun raportoinnista antaa Vakuutusvalvontaosaston Vahinko- ja henkivakuutus-toimisto ja Työeläkelaitokset-toimisto. </w:t>
      </w:r>
    </w:p>
    <w:p w14:paraId="21E8A5C9" w14:textId="63DE73B6" w:rsidR="00D65966" w:rsidRPr="00DB3389" w:rsidRDefault="00D65966" w:rsidP="00D65966">
      <w:pPr>
        <w:pStyle w:val="Indent2"/>
        <w:spacing w:line="276" w:lineRule="auto"/>
        <w:ind w:hanging="1304"/>
        <w:rPr>
          <w:i/>
          <w:color w:val="0070C0"/>
          <w:sz w:val="20"/>
          <w:szCs w:val="20"/>
        </w:rPr>
      </w:pPr>
      <w:r w:rsidRPr="00DB3389">
        <w:rPr>
          <w:i/>
          <w:color w:val="0070C0"/>
          <w:sz w:val="20"/>
          <w:szCs w:val="20"/>
        </w:rPr>
        <w:t>(31.12.2017)</w:t>
      </w:r>
    </w:p>
    <w:p w14:paraId="21E8A5CA" w14:textId="77777777" w:rsidR="00D65966" w:rsidRPr="000420B7" w:rsidRDefault="00D65966" w:rsidP="00D65966">
      <w:pPr>
        <w:pStyle w:val="Indent2"/>
        <w:spacing w:line="276" w:lineRule="auto"/>
        <w:ind w:hanging="1304"/>
        <w:rPr>
          <w:sz w:val="20"/>
          <w:szCs w:val="20"/>
        </w:rPr>
      </w:pPr>
    </w:p>
    <w:p w14:paraId="21E8A5CB" w14:textId="77777777" w:rsidR="00D65966" w:rsidRPr="00920149" w:rsidRDefault="00D65966" w:rsidP="00D65966">
      <w:pPr>
        <w:spacing w:after="200" w:line="276" w:lineRule="auto"/>
        <w:rPr>
          <w:b/>
        </w:rPr>
      </w:pPr>
      <w:r>
        <w:rPr>
          <w:b/>
        </w:rPr>
        <w:t>VB02</w:t>
      </w:r>
      <w:r>
        <w:rPr>
          <w:b/>
        </w:rPr>
        <w:tab/>
        <w:t>Tuloslaskelmaa koskevat liitetiedot</w:t>
      </w:r>
    </w:p>
    <w:p w14:paraId="21E8A5CC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Kaikki luvut annetaan tulosvaikutuksen mukaisella etumerkillä varustettuna (+/-).</w:t>
      </w:r>
    </w:p>
    <w:p w14:paraId="21E8A5CD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CE" w14:textId="77777777" w:rsidR="00D65966" w:rsidRPr="00920149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CF" w14:textId="77777777" w:rsidR="00D65966" w:rsidRDefault="00D65966" w:rsidP="00D65966">
      <w:pPr>
        <w:spacing w:after="200" w:line="276" w:lineRule="auto"/>
        <w:rPr>
          <w:b/>
        </w:rPr>
      </w:pPr>
      <w:r>
        <w:rPr>
          <w:b/>
        </w:rPr>
        <w:t>VB03</w:t>
      </w:r>
      <w:r>
        <w:rPr>
          <w:b/>
        </w:rPr>
        <w:tab/>
        <w:t xml:space="preserve">Vakuutusyhtiön tasetta koskevat liitetiedot </w:t>
      </w:r>
    </w:p>
    <w:p w14:paraId="21E8A5D0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Taulukon täyttöön ei toistaiseksi ole annettu erillistä raportointiohjeistusta.</w:t>
      </w:r>
    </w:p>
    <w:p w14:paraId="21E8A5D1" w14:textId="77777777" w:rsidR="00D65966" w:rsidRPr="006D57FD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D2" w14:textId="77777777" w:rsidR="00D65966" w:rsidRPr="006D57FD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D3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D4" w14:textId="77777777" w:rsidR="00D65966" w:rsidRPr="006D57FD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D5" w14:textId="77777777" w:rsidR="00D65966" w:rsidRDefault="00D65966" w:rsidP="00D65966">
      <w:pPr>
        <w:pStyle w:val="Indent2"/>
        <w:spacing w:line="276" w:lineRule="auto"/>
        <w:ind w:left="1304"/>
        <w:rPr>
          <w:sz w:val="20"/>
          <w:szCs w:val="20"/>
        </w:rPr>
      </w:pPr>
    </w:p>
    <w:p w14:paraId="21E8A5D6" w14:textId="77777777" w:rsidR="00D65966" w:rsidRDefault="00D65966" w:rsidP="00D65966">
      <w:pPr>
        <w:pStyle w:val="Indent2"/>
        <w:spacing w:line="276" w:lineRule="auto"/>
        <w:ind w:left="1304"/>
      </w:pPr>
    </w:p>
    <w:p w14:paraId="21E8A5D7" w14:textId="77777777" w:rsidR="00D65966" w:rsidRPr="00857ECC" w:rsidRDefault="00D65966" w:rsidP="00210F69">
      <w:pPr>
        <w:rPr>
          <w:rFonts w:ascii="Arial" w:eastAsia="Times New Roman" w:hAnsi="Arial" w:cs="Arial"/>
          <w:i/>
          <w:color w:val="4F81BD"/>
          <w:lang w:eastAsia="fi-FI"/>
        </w:rPr>
      </w:pPr>
    </w:p>
    <w:bookmarkEnd w:id="1"/>
    <w:sectPr w:rsidR="00D65966" w:rsidRPr="00857ECC" w:rsidSect="00732342">
      <w:headerReference w:type="default" r:id="rId11"/>
      <w:pgSz w:w="11906" w:h="16838"/>
      <w:pgMar w:top="1417" w:right="1134" w:bottom="1417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8A5DA" w14:textId="77777777" w:rsidR="006018B4" w:rsidRDefault="006018B4" w:rsidP="00496796">
      <w:pPr>
        <w:spacing w:after="0" w:line="240" w:lineRule="auto"/>
      </w:pPr>
      <w:r>
        <w:separator/>
      </w:r>
    </w:p>
  </w:endnote>
  <w:endnote w:type="continuationSeparator" w:id="0">
    <w:p w14:paraId="21E8A5DB" w14:textId="77777777" w:rsidR="006018B4" w:rsidRDefault="006018B4" w:rsidP="0049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8A5D8" w14:textId="77777777" w:rsidR="006018B4" w:rsidRDefault="006018B4" w:rsidP="00496796">
      <w:pPr>
        <w:spacing w:after="0" w:line="240" w:lineRule="auto"/>
      </w:pPr>
      <w:r>
        <w:separator/>
      </w:r>
    </w:p>
  </w:footnote>
  <w:footnote w:type="continuationSeparator" w:id="0">
    <w:p w14:paraId="21E8A5D9" w14:textId="77777777" w:rsidR="006018B4" w:rsidRDefault="006018B4" w:rsidP="0049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A5DC" w14:textId="4629144D" w:rsidR="00496796" w:rsidRPr="00210F69" w:rsidRDefault="00496796">
    <w:pPr>
      <w:pStyle w:val="Yltunniste"/>
      <w:rPr>
        <w:rFonts w:ascii="Arial" w:hAnsi="Arial" w:cs="Arial"/>
      </w:rPr>
    </w:pPr>
    <w:r w:rsidRPr="00496796">
      <w:rPr>
        <w:rFonts w:ascii="Arial" w:eastAsia="Times New Roman" w:hAnsi="Arial"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21E8A5E2" wp14:editId="21E8A5E3">
          <wp:simplePos x="0" y="0"/>
          <wp:positionH relativeFrom="column">
            <wp:posOffset>-539115</wp:posOffset>
          </wp:positionH>
          <wp:positionV relativeFrom="paragraph">
            <wp:posOffset>46355</wp:posOffset>
          </wp:positionV>
          <wp:extent cx="3916680" cy="792480"/>
          <wp:effectExtent l="0" t="0" r="7620" b="7620"/>
          <wp:wrapTight wrapText="bothSides">
            <wp:wrapPolygon edited="0">
              <wp:start x="0" y="0"/>
              <wp:lineTo x="0" y="21288"/>
              <wp:lineTo x="21537" y="21288"/>
              <wp:lineTo x="21537" y="0"/>
              <wp:lineTo x="0" y="0"/>
            </wp:wrapPolygon>
          </wp:wrapTight>
          <wp:docPr id="12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342">
      <w:tab/>
    </w:r>
    <w:r w:rsidR="00732342" w:rsidRPr="00210F69">
      <w:rPr>
        <w:rFonts w:ascii="Arial" w:hAnsi="Arial" w:cs="Arial"/>
      </w:rPr>
      <w:fldChar w:fldCharType="begin"/>
    </w:r>
    <w:r w:rsidR="00732342" w:rsidRPr="00210F69">
      <w:rPr>
        <w:rFonts w:ascii="Arial" w:hAnsi="Arial" w:cs="Arial"/>
      </w:rPr>
      <w:instrText xml:space="preserve"> PAGE   \* MERGEFORMAT </w:instrText>
    </w:r>
    <w:r w:rsidR="00732342" w:rsidRPr="00210F69">
      <w:rPr>
        <w:rFonts w:ascii="Arial" w:hAnsi="Arial" w:cs="Arial"/>
      </w:rPr>
      <w:fldChar w:fldCharType="separate"/>
    </w:r>
    <w:r w:rsidR="0060606A">
      <w:rPr>
        <w:rFonts w:ascii="Arial" w:hAnsi="Arial" w:cs="Arial"/>
        <w:noProof/>
      </w:rPr>
      <w:t>1</w:t>
    </w:r>
    <w:r w:rsidR="00732342" w:rsidRPr="00210F69">
      <w:rPr>
        <w:rFonts w:ascii="Arial" w:hAnsi="Arial" w:cs="Arial"/>
        <w:noProof/>
      </w:rPr>
      <w:fldChar w:fldCharType="end"/>
    </w:r>
    <w:r w:rsidR="00732342" w:rsidRPr="00210F69">
      <w:rPr>
        <w:rFonts w:ascii="Arial" w:hAnsi="Arial" w:cs="Arial"/>
        <w:noProof/>
      </w:rPr>
      <w:t xml:space="preserve"> (</w:t>
    </w:r>
    <w:r w:rsidR="00B90FA9">
      <w:rPr>
        <w:rFonts w:ascii="Arial" w:hAnsi="Arial" w:cs="Arial"/>
        <w:noProof/>
      </w:rPr>
      <w:fldChar w:fldCharType="begin"/>
    </w:r>
    <w:r w:rsidR="00B90FA9">
      <w:rPr>
        <w:rFonts w:ascii="Arial" w:hAnsi="Arial" w:cs="Arial"/>
        <w:noProof/>
      </w:rPr>
      <w:instrText xml:space="preserve"> NUMPAGES  \* Arabic  \* MERGEFORMAT </w:instrText>
    </w:r>
    <w:r w:rsidR="00B90FA9">
      <w:rPr>
        <w:rFonts w:ascii="Arial" w:hAnsi="Arial" w:cs="Arial"/>
        <w:noProof/>
      </w:rPr>
      <w:fldChar w:fldCharType="separate"/>
    </w:r>
    <w:r w:rsidR="0060606A">
      <w:rPr>
        <w:rFonts w:ascii="Arial" w:hAnsi="Arial" w:cs="Arial"/>
        <w:noProof/>
      </w:rPr>
      <w:t>1</w:t>
    </w:r>
    <w:r w:rsidR="00B90FA9">
      <w:rPr>
        <w:rFonts w:ascii="Arial" w:hAnsi="Arial" w:cs="Arial"/>
        <w:noProof/>
      </w:rPr>
      <w:fldChar w:fldCharType="end"/>
    </w:r>
    <w:r w:rsidR="00732342" w:rsidRPr="00210F69">
      <w:rPr>
        <w:rFonts w:ascii="Arial" w:hAnsi="Arial" w:cs="Arial"/>
        <w:noProof/>
      </w:rPr>
      <w:t>)</w:t>
    </w:r>
  </w:p>
  <w:p w14:paraId="21E8A5DD" w14:textId="77777777" w:rsidR="00496796" w:rsidRDefault="00496796">
    <w:pPr>
      <w:pStyle w:val="Yltunniste"/>
    </w:pPr>
  </w:p>
  <w:p w14:paraId="21E8A5DE" w14:textId="77777777" w:rsidR="00496796" w:rsidRDefault="00496796">
    <w:pPr>
      <w:pStyle w:val="Yltunniste"/>
    </w:pPr>
  </w:p>
  <w:p w14:paraId="21E8A5DF" w14:textId="77777777" w:rsidR="00496796" w:rsidRDefault="00496796">
    <w:pPr>
      <w:pStyle w:val="Yltunniste"/>
    </w:pPr>
  </w:p>
  <w:p w14:paraId="21E8A5E0" w14:textId="77777777" w:rsidR="00732342" w:rsidRDefault="00732342">
    <w:pPr>
      <w:pStyle w:val="Yltunniste"/>
    </w:pPr>
  </w:p>
  <w:p w14:paraId="21E8A5E1" w14:textId="77777777" w:rsidR="00732342" w:rsidRDefault="0073234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CA"/>
    <w:rsid w:val="00210F69"/>
    <w:rsid w:val="00313742"/>
    <w:rsid w:val="00376335"/>
    <w:rsid w:val="003C0E3D"/>
    <w:rsid w:val="00496796"/>
    <w:rsid w:val="00560BCA"/>
    <w:rsid w:val="006018B4"/>
    <w:rsid w:val="0060606A"/>
    <w:rsid w:val="006375D8"/>
    <w:rsid w:val="00732342"/>
    <w:rsid w:val="00857ECC"/>
    <w:rsid w:val="00B90FA9"/>
    <w:rsid w:val="00D65966"/>
    <w:rsid w:val="00D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E8A586"/>
  <w15:chartTrackingRefBased/>
  <w15:docId w15:val="{A9899CA4-1559-4A18-9584-71F61BE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Indent2"/>
    <w:link w:val="Otsikko1Char"/>
    <w:qFormat/>
    <w:rsid w:val="00D65966"/>
    <w:pPr>
      <w:keepNext/>
      <w:numPr>
        <w:numId w:val="2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lang w:eastAsia="fi-FI"/>
    </w:rPr>
  </w:style>
  <w:style w:type="paragraph" w:styleId="Otsikko2">
    <w:name w:val="heading 2"/>
    <w:basedOn w:val="Normaali"/>
    <w:next w:val="Indent2"/>
    <w:link w:val="Otsikko2Char"/>
    <w:qFormat/>
    <w:rsid w:val="00D65966"/>
    <w:pPr>
      <w:keepNext/>
      <w:numPr>
        <w:ilvl w:val="1"/>
        <w:numId w:val="2"/>
      </w:numPr>
      <w:spacing w:before="240" w:after="240" w:line="240" w:lineRule="auto"/>
      <w:ind w:left="0"/>
      <w:outlineLvl w:val="1"/>
    </w:pPr>
    <w:rPr>
      <w:rFonts w:ascii="Arial" w:eastAsia="Times New Roman" w:hAnsi="Arial" w:cs="Arial"/>
      <w:b/>
      <w:bCs/>
      <w:iCs/>
      <w:lang w:eastAsia="fi-FI"/>
    </w:rPr>
  </w:style>
  <w:style w:type="paragraph" w:styleId="Otsikko3">
    <w:name w:val="heading 3"/>
    <w:basedOn w:val="Normaali"/>
    <w:next w:val="Indent2"/>
    <w:link w:val="Otsikko3Char"/>
    <w:qFormat/>
    <w:rsid w:val="00D65966"/>
    <w:pPr>
      <w:keepNext/>
      <w:numPr>
        <w:ilvl w:val="2"/>
        <w:numId w:val="2"/>
      </w:numPr>
      <w:spacing w:before="240" w:after="240" w:line="240" w:lineRule="auto"/>
      <w:outlineLvl w:val="2"/>
    </w:pPr>
    <w:rPr>
      <w:rFonts w:ascii="Arial" w:eastAsia="Times New Roman" w:hAnsi="Arial" w:cs="Arial"/>
      <w:b/>
      <w:bCs/>
      <w:lang w:eastAsia="fi-FI"/>
    </w:rPr>
  </w:style>
  <w:style w:type="paragraph" w:styleId="Otsikko4">
    <w:name w:val="heading 4"/>
    <w:basedOn w:val="Normaali"/>
    <w:next w:val="Indent2"/>
    <w:link w:val="Otsikko4Char"/>
    <w:qFormat/>
    <w:rsid w:val="00D65966"/>
    <w:pPr>
      <w:keepNext/>
      <w:numPr>
        <w:ilvl w:val="3"/>
        <w:numId w:val="2"/>
      </w:numPr>
      <w:spacing w:before="240" w:after="240" w:line="240" w:lineRule="auto"/>
      <w:outlineLvl w:val="3"/>
    </w:pPr>
    <w:rPr>
      <w:rFonts w:ascii="Arial" w:eastAsia="Times New Roman" w:hAnsi="Arial" w:cs="Arial"/>
      <w:b/>
      <w:bCs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D65966"/>
    <w:pPr>
      <w:keepNext/>
      <w:numPr>
        <w:ilvl w:val="4"/>
        <w:numId w:val="2"/>
      </w:numPr>
      <w:spacing w:before="240" w:after="240" w:line="240" w:lineRule="auto"/>
      <w:outlineLvl w:val="4"/>
    </w:pPr>
    <w:rPr>
      <w:rFonts w:ascii="Arial" w:eastAsia="Times New Roman" w:hAnsi="Arial" w:cs="Arial"/>
      <w:b/>
      <w:bCs/>
      <w:iCs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D65966"/>
    <w:pPr>
      <w:keepNext/>
      <w:numPr>
        <w:ilvl w:val="5"/>
        <w:numId w:val="2"/>
      </w:numPr>
      <w:spacing w:before="240" w:after="240" w:line="240" w:lineRule="auto"/>
      <w:outlineLvl w:val="5"/>
    </w:pPr>
    <w:rPr>
      <w:rFonts w:ascii="Arial" w:eastAsia="Times New Roman" w:hAnsi="Arial" w:cs="Arial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D65966"/>
    <w:pPr>
      <w:keepNext/>
      <w:numPr>
        <w:ilvl w:val="6"/>
        <w:numId w:val="2"/>
      </w:numPr>
      <w:spacing w:before="240" w:after="240" w:line="240" w:lineRule="auto"/>
      <w:outlineLvl w:val="6"/>
    </w:pPr>
    <w:rPr>
      <w:rFonts w:ascii="Arial" w:eastAsia="Times New Roman" w:hAnsi="Arial" w:cs="Arial"/>
      <w:b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D65966"/>
    <w:pPr>
      <w:keepNext/>
      <w:numPr>
        <w:ilvl w:val="7"/>
        <w:numId w:val="2"/>
      </w:numPr>
      <w:spacing w:before="240" w:after="240" w:line="240" w:lineRule="auto"/>
      <w:outlineLvl w:val="7"/>
    </w:pPr>
    <w:rPr>
      <w:rFonts w:ascii="Arial" w:eastAsia="Times New Roman" w:hAnsi="Arial" w:cs="Arial"/>
      <w:b/>
      <w:iCs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D65966"/>
    <w:pPr>
      <w:keepNext/>
      <w:numPr>
        <w:ilvl w:val="8"/>
        <w:numId w:val="2"/>
      </w:numPr>
      <w:spacing w:before="240" w:after="240" w:line="240" w:lineRule="auto"/>
      <w:outlineLvl w:val="8"/>
    </w:pPr>
    <w:rPr>
      <w:rFonts w:ascii="Arial" w:eastAsia="Times New Roman" w:hAnsi="Arial" w:cs="Arial"/>
      <w:b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9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96796"/>
  </w:style>
  <w:style w:type="paragraph" w:styleId="Alatunniste">
    <w:name w:val="footer"/>
    <w:basedOn w:val="Normaali"/>
    <w:link w:val="AlatunnisteChar"/>
    <w:uiPriority w:val="99"/>
    <w:unhideWhenUsed/>
    <w:rsid w:val="00496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96796"/>
  </w:style>
  <w:style w:type="paragraph" w:customStyle="1" w:styleId="-List1">
    <w:name w:val="- List 1"/>
    <w:basedOn w:val="Normaali"/>
    <w:rsid w:val="00857ECC"/>
    <w:pPr>
      <w:numPr>
        <w:numId w:val="1"/>
      </w:numPr>
      <w:spacing w:after="0" w:line="240" w:lineRule="auto"/>
    </w:pPr>
    <w:rPr>
      <w:rFonts w:ascii="Arial" w:eastAsia="Times New Roman" w:hAnsi="Arial" w:cs="Arial"/>
      <w:szCs w:val="24"/>
      <w:lang w:eastAsia="fi-FI"/>
    </w:rPr>
  </w:style>
  <w:style w:type="table" w:customStyle="1" w:styleId="LightShading1">
    <w:name w:val="Light Shading1"/>
    <w:basedOn w:val="Normaalitaulukko"/>
    <w:uiPriority w:val="60"/>
    <w:rsid w:val="00857EC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tsikko1Char">
    <w:name w:val="Otsikko 1 Char"/>
    <w:basedOn w:val="Kappaleenoletusfontti"/>
    <w:link w:val="Otsikko1"/>
    <w:rsid w:val="00D65966"/>
    <w:rPr>
      <w:rFonts w:ascii="Arial" w:eastAsia="Times New Roman" w:hAnsi="Arial" w:cs="Arial"/>
      <w:b/>
      <w:bCs/>
      <w:lang w:eastAsia="fi-FI"/>
    </w:rPr>
  </w:style>
  <w:style w:type="character" w:customStyle="1" w:styleId="Otsikko2Char">
    <w:name w:val="Otsikko 2 Char"/>
    <w:basedOn w:val="Kappaleenoletusfontti"/>
    <w:link w:val="Otsikko2"/>
    <w:rsid w:val="00D65966"/>
    <w:rPr>
      <w:rFonts w:ascii="Arial" w:eastAsia="Times New Roman" w:hAnsi="Arial" w:cs="Arial"/>
      <w:b/>
      <w:bCs/>
      <w:iCs/>
      <w:lang w:eastAsia="fi-FI"/>
    </w:rPr>
  </w:style>
  <w:style w:type="character" w:customStyle="1" w:styleId="Otsikko3Char">
    <w:name w:val="Otsikko 3 Char"/>
    <w:basedOn w:val="Kappaleenoletusfontti"/>
    <w:link w:val="Otsikko3"/>
    <w:rsid w:val="00D65966"/>
    <w:rPr>
      <w:rFonts w:ascii="Arial" w:eastAsia="Times New Roman" w:hAnsi="Arial" w:cs="Arial"/>
      <w:b/>
      <w:bCs/>
      <w:lang w:eastAsia="fi-FI"/>
    </w:rPr>
  </w:style>
  <w:style w:type="character" w:customStyle="1" w:styleId="Otsikko4Char">
    <w:name w:val="Otsikko 4 Char"/>
    <w:basedOn w:val="Kappaleenoletusfontti"/>
    <w:link w:val="Otsikko4"/>
    <w:rsid w:val="00D65966"/>
    <w:rPr>
      <w:rFonts w:ascii="Arial" w:eastAsia="Times New Roman" w:hAnsi="Arial" w:cs="Arial"/>
      <w:b/>
      <w:bCs/>
      <w:lang w:eastAsia="fi-FI"/>
    </w:rPr>
  </w:style>
  <w:style w:type="character" w:customStyle="1" w:styleId="Otsikko5Char">
    <w:name w:val="Otsikko 5 Char"/>
    <w:basedOn w:val="Kappaleenoletusfontti"/>
    <w:link w:val="Otsikko5"/>
    <w:rsid w:val="00D65966"/>
    <w:rPr>
      <w:rFonts w:ascii="Arial" w:eastAsia="Times New Roman" w:hAnsi="Arial" w:cs="Arial"/>
      <w:b/>
      <w:bCs/>
      <w:iCs/>
      <w:lang w:eastAsia="fi-FI"/>
    </w:rPr>
  </w:style>
  <w:style w:type="character" w:customStyle="1" w:styleId="Otsikko6Char">
    <w:name w:val="Otsikko 6 Char"/>
    <w:basedOn w:val="Kappaleenoletusfontti"/>
    <w:link w:val="Otsikko6"/>
    <w:rsid w:val="00D65966"/>
    <w:rPr>
      <w:rFonts w:ascii="Arial" w:eastAsia="Times New Roman" w:hAnsi="Arial" w:cs="Arial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D65966"/>
    <w:rPr>
      <w:rFonts w:ascii="Arial" w:eastAsia="Times New Roman" w:hAnsi="Arial" w:cs="Arial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D65966"/>
    <w:rPr>
      <w:rFonts w:ascii="Arial" w:eastAsia="Times New Roman" w:hAnsi="Arial" w:cs="Arial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D65966"/>
    <w:rPr>
      <w:rFonts w:ascii="Arial" w:eastAsia="Times New Roman" w:hAnsi="Arial" w:cs="Arial"/>
      <w:b/>
      <w:lang w:eastAsia="fi-FI"/>
    </w:rPr>
  </w:style>
  <w:style w:type="paragraph" w:customStyle="1" w:styleId="Indent2">
    <w:name w:val="Indent 2"/>
    <w:basedOn w:val="Normaali"/>
    <w:rsid w:val="00D65966"/>
    <w:pPr>
      <w:spacing w:after="0" w:line="240" w:lineRule="auto"/>
      <w:ind w:left="2608"/>
    </w:pPr>
    <w:rPr>
      <w:rFonts w:ascii="Arial" w:eastAsia="Times New Roman" w:hAnsi="Arial" w:cs="Aria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6C94751DEA34F821B07F21746D5DA" ma:contentTypeVersion="2" ma:contentTypeDescription="Create a new document." ma:contentTypeScope="" ma:versionID="d477698c72ddb0c31b4fbed79642ff1b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d1ee0fd763d379de7b98c7f97db3980b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2DBA-156C-4933-81F7-3B82F21A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7c6ae9-d988-4a66-9031-ad40dfa6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BCDDB-DC65-441E-B2D8-1D4082596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AAF5E-D476-4CAE-8FA0-706AE75B20FF}">
  <ds:schemaRefs>
    <ds:schemaRef ds:uri="http://schemas.openxmlformats.org/package/2006/metadata/core-properties"/>
    <ds:schemaRef ds:uri="http://purl.org/dc/elements/1.1/"/>
    <ds:schemaRef ds:uri="377c6ae9-d988-4a66-9031-ad40dfa6cca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B82C2C-5F26-4816-895C-C8D509DF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2681</Characters>
  <Application>Microsoft Office Word</Application>
  <DocSecurity>4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VB_ohje_uudella pohjalla</vt:lpstr>
      <vt:lpstr/>
    </vt:vector>
  </TitlesOfParts>
  <Company>Bank of Finland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VB_ohje_uudella pohjalla</dc:title>
  <dc:subject/>
  <dc:creator>Viinanen, Riikka</dc:creator>
  <cp:keywords/>
  <dc:description/>
  <cp:lastModifiedBy>Galkin, Margit</cp:lastModifiedBy>
  <cp:revision>2</cp:revision>
  <dcterms:created xsi:type="dcterms:W3CDTF">2019-01-10T11:00:00Z</dcterms:created>
  <dcterms:modified xsi:type="dcterms:W3CDTF">2019-01-10T11:00:00Z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0x010100F666C94751DEA34F821B07F21746D5DA</vt:lpwstr>
  </property>
  <property fmtid="{D5CDD505-2E9C-101B-9397-08002B2CF9AE}" pid="3" name="_dlc_DocIdItemGuid">
    <vt:lpwstr>63d2e41e-2b01-45a4-9551-f8b9817c6da3</vt:lpwstr>
  </property>
  <property fmtid="{D5CDD505-2E9C-101B-9397-08002B2CF9AE}" pid="4" name="RestrictionEscbSensitivity">
    <vt:lpwstr/>
  </property>
</Properties>
</file>